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E615F2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7D458D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E44E0B1" wp14:editId="336CDE1D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E615F2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E615F2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E615F2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E615F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E615F2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:rsidR="00FF668F" w:rsidRPr="00E615F2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E615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E615F2">
        <w:rPr>
          <w:sz w:val="26"/>
          <w:szCs w:val="26"/>
        </w:rPr>
        <w:t xml:space="preserve">          </w:t>
      </w:r>
      <w:r w:rsidR="00FF668F" w:rsidRPr="00E615F2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E615F2" w:rsidTr="0093295F">
        <w:tc>
          <w:tcPr>
            <w:tcW w:w="3285" w:type="dxa"/>
          </w:tcPr>
          <w:p w:rsidR="0093295F" w:rsidRPr="00E615F2" w:rsidRDefault="00006D0D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D6010">
              <w:rPr>
                <w:sz w:val="26"/>
                <w:szCs w:val="26"/>
              </w:rPr>
              <w:t>.09</w:t>
            </w:r>
            <w:r w:rsidR="00CE6DBC" w:rsidRPr="00E615F2">
              <w:rPr>
                <w:sz w:val="26"/>
                <w:szCs w:val="26"/>
              </w:rPr>
              <w:t>.</w:t>
            </w:r>
            <w:r w:rsidR="0093295F" w:rsidRPr="00E615F2">
              <w:rPr>
                <w:sz w:val="26"/>
                <w:szCs w:val="26"/>
              </w:rPr>
              <w:t>20</w:t>
            </w:r>
            <w:r w:rsidR="00D66DCB" w:rsidRPr="00E615F2">
              <w:rPr>
                <w:sz w:val="26"/>
                <w:szCs w:val="26"/>
              </w:rPr>
              <w:t>2</w:t>
            </w:r>
            <w:r w:rsidR="003579F2" w:rsidRPr="00E615F2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№</w:t>
            </w:r>
            <w:r w:rsidR="004054FC" w:rsidRPr="00E615F2">
              <w:rPr>
                <w:sz w:val="26"/>
                <w:szCs w:val="26"/>
              </w:rPr>
              <w:t xml:space="preserve">  </w:t>
            </w:r>
            <w:r w:rsidR="00006D0D">
              <w:rPr>
                <w:sz w:val="26"/>
                <w:szCs w:val="26"/>
              </w:rPr>
              <w:t>3</w:t>
            </w:r>
          </w:p>
        </w:tc>
      </w:tr>
    </w:tbl>
    <w:p w:rsidR="00591DE9" w:rsidRPr="00E615F2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E615F2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Форма проведения Комитета по стратегии</w:t>
      </w:r>
      <w:r w:rsidR="00A85CF7" w:rsidRPr="00E615F2">
        <w:rPr>
          <w:sz w:val="26"/>
          <w:szCs w:val="26"/>
        </w:rPr>
        <w:t xml:space="preserve"> </w:t>
      </w:r>
      <w:r w:rsidR="00D5003A" w:rsidRPr="00E615F2">
        <w:rPr>
          <w:sz w:val="26"/>
          <w:szCs w:val="26"/>
        </w:rPr>
        <w:t xml:space="preserve">(далее – Комитет) </w:t>
      </w:r>
      <w:r w:rsidRPr="00E615F2">
        <w:rPr>
          <w:sz w:val="26"/>
          <w:szCs w:val="26"/>
        </w:rPr>
        <w:t>– заочное голосование.</w:t>
      </w:r>
    </w:p>
    <w:p w:rsidR="00A417B8" w:rsidRPr="00E615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E615F2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E615F2">
        <w:rPr>
          <w:sz w:val="26"/>
          <w:szCs w:val="26"/>
        </w:rPr>
        <w:t>Полинов</w:t>
      </w:r>
      <w:proofErr w:type="spellEnd"/>
      <w:r w:rsidR="008C7B32" w:rsidRPr="00E615F2">
        <w:rPr>
          <w:sz w:val="26"/>
          <w:szCs w:val="26"/>
        </w:rPr>
        <w:t xml:space="preserve"> Алексей Александрович</w:t>
      </w:r>
    </w:p>
    <w:p w:rsidR="00591DE9" w:rsidRPr="00E615F2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E615F2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Члены Комитета, принявшие участие в заседании: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Головцов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Иванова Т.А.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Калоева М.В.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E615F2">
        <w:rPr>
          <w:sz w:val="26"/>
          <w:szCs w:val="26"/>
        </w:rPr>
        <w:t>Краинский</w:t>
      </w:r>
      <w:proofErr w:type="spellEnd"/>
      <w:r w:rsidRPr="00E615F2">
        <w:rPr>
          <w:sz w:val="26"/>
          <w:szCs w:val="26"/>
        </w:rPr>
        <w:t xml:space="preserve"> Д.В.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Михеев Д.Д.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Морозов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Павлов А.И.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Темнышев А.А.</w:t>
      </w:r>
    </w:p>
    <w:p w:rsidR="00D15F86" w:rsidRPr="00E615F2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Тихомирова О.В.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Федоров О.Р.</w:t>
      </w:r>
    </w:p>
    <w:p w:rsidR="00591DE9" w:rsidRPr="00E615F2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E615F2">
        <w:rPr>
          <w:sz w:val="26"/>
          <w:szCs w:val="26"/>
        </w:rPr>
        <w:t xml:space="preserve">11 членов </w:t>
      </w:r>
      <w:r w:rsidR="00FB66B2" w:rsidRPr="00E615F2">
        <w:rPr>
          <w:sz w:val="26"/>
          <w:szCs w:val="26"/>
        </w:rPr>
        <w:br/>
        <w:t>из 11</w:t>
      </w:r>
      <w:r w:rsidRPr="00E615F2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E615F2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E615F2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E615F2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ПОВЕСТКА ДНЯ:</w:t>
      </w:r>
    </w:p>
    <w:p w:rsidR="0007207C" w:rsidRPr="0007207C" w:rsidRDefault="0007207C" w:rsidP="0007207C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7207C">
        <w:rPr>
          <w:sz w:val="26"/>
          <w:szCs w:val="26"/>
        </w:rPr>
        <w:t>О прекращении участия Общества в ПАО «ТГК-2».</w:t>
      </w:r>
    </w:p>
    <w:p w:rsidR="0007207C" w:rsidRPr="0007207C" w:rsidRDefault="0007207C" w:rsidP="0007207C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7207C">
        <w:rPr>
          <w:sz w:val="26"/>
          <w:szCs w:val="26"/>
        </w:rPr>
        <w:t>О рассмотрении Плана-графика мероприятий ПАО 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01.07.2021.</w:t>
      </w:r>
    </w:p>
    <w:p w:rsidR="003E5304" w:rsidRPr="0007207C" w:rsidRDefault="0007207C" w:rsidP="0007207C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07207C">
        <w:rPr>
          <w:sz w:val="26"/>
          <w:szCs w:val="26"/>
        </w:rPr>
        <w:t>О рассмотрении актуализированной Программы развития интеллектуального учета электроэнергии Общества на 2021-2030 гг</w:t>
      </w:r>
      <w:r>
        <w:rPr>
          <w:sz w:val="26"/>
          <w:szCs w:val="26"/>
        </w:rPr>
        <w:t>.</w:t>
      </w:r>
    </w:p>
    <w:p w:rsidR="0007207C" w:rsidRDefault="0007207C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07207C" w:rsidRPr="00E615F2" w:rsidRDefault="0007207C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B92A2F" w:rsidRPr="00E615F2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1: </w:t>
      </w:r>
      <w:r w:rsidR="0007207C" w:rsidRPr="0007207C">
        <w:rPr>
          <w:b/>
          <w:sz w:val="26"/>
          <w:szCs w:val="26"/>
        </w:rPr>
        <w:t>О прекращении участия Общества в ПАО «ТГК-2»</w:t>
      </w:r>
      <w:r w:rsidR="007C1739" w:rsidRPr="00E615F2">
        <w:rPr>
          <w:b/>
          <w:sz w:val="26"/>
          <w:szCs w:val="26"/>
        </w:rPr>
        <w:t>.</w:t>
      </w:r>
    </w:p>
    <w:p w:rsidR="00591DE9" w:rsidRPr="00E615F2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07207C" w:rsidRPr="00015121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07207C" w:rsidRPr="009C45AE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Одобрить прекращение участия Общества в ПАО «ТГК-2» на следующих условиях:</w:t>
      </w:r>
    </w:p>
    <w:p w:rsidR="0007207C" w:rsidRPr="009C45AE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lastRenderedPageBreak/>
        <w:t>− категория, тип, номинальная стоимость и количество отчуждаемых             Обществом акций ПАО «ТГК-2», доля в уставном капитале ПАО «ТГК-2»:</w:t>
      </w:r>
    </w:p>
    <w:p w:rsidR="0007207C" w:rsidRPr="009C45AE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• обыкновенные именные бездокументарные акции, государственный регистрационный номер выпуска 1-01-10420-А, номинальной стоимостью 0,01 (Одна сотая) рубля за акцию, 31 321 (Тридцать одна тысяча триста двадцать одна) штука, что составляет 0,0000021% уставного капитала ПАО «ТГК-2», балансовой стоимостью по состоянию на 31 марта 2021 г. – 125 (Сто двадцать пять) рублей 28 копеек;</w:t>
      </w:r>
    </w:p>
    <w:p w:rsidR="0007207C" w:rsidRPr="009C45AE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•</w:t>
      </w:r>
      <w:r w:rsidRPr="009C45AE">
        <w:rPr>
          <w:sz w:val="26"/>
          <w:szCs w:val="26"/>
        </w:rPr>
        <w:tab/>
        <w:t>привилегированные именные бездокументарные акции, государственный регистрационный номер выпуска 2-01-10420-А, номинальной стоимостью 0,01 (Одна сотая) рубля за акцию, 1 018 (Одна тысяча восемнадцать) штук, что составляет 0,0000001% уставного капитала ПАО «ТГК-2», балансовой стоимостью по состоянию на 31 марта 2021 г. – 6 (Шесть) рублей 82 копейки;</w:t>
      </w:r>
    </w:p>
    <w:p w:rsidR="0007207C" w:rsidRPr="009C45AE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− способ отчуждения акций: посредством продажи на организованном рынке ценных бумаг с привлечением профессионального участника организованного рынка ценных бумаг по цене, сформированной в результате торгов, но не ниже балансовой стоимости на дату продажи акций с учетом расходов на организацию продажи;</w:t>
      </w:r>
    </w:p>
    <w:p w:rsidR="0007207C" w:rsidRPr="00AD6010" w:rsidRDefault="0007207C" w:rsidP="0007207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− порядок (срок) оплаты акций: денежными средствами на условиях и в течение сроков, предусмотренных законодательством Российской Федерации</w:t>
      </w:r>
    </w:p>
    <w:p w:rsidR="00E24659" w:rsidRPr="00E615F2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0270F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Полинов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5D3AB4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0270F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5D3AB4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5554B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24659" w:rsidRPr="00E615F2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9117C" w:rsidRPr="00E615F2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2: </w:t>
      </w:r>
      <w:r w:rsidR="00A84FEE" w:rsidRPr="00A84FEE">
        <w:rPr>
          <w:b/>
          <w:sz w:val="26"/>
          <w:szCs w:val="26"/>
        </w:rPr>
        <w:t>О рассмотрении Плана-графика мероприятий ПАО</w:t>
      </w:r>
      <w:r w:rsidR="00A84FEE">
        <w:rPr>
          <w:b/>
          <w:sz w:val="26"/>
          <w:szCs w:val="26"/>
        </w:rPr>
        <w:t> </w:t>
      </w:r>
      <w:r w:rsidR="00A84FEE" w:rsidRPr="00A84FEE">
        <w:rPr>
          <w:b/>
          <w:sz w:val="26"/>
          <w:szCs w:val="26"/>
        </w:rPr>
        <w:t>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01.07.2021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1. Рекомендовать Совету директоров ПАО «Россети Северо-Запад» принять следующее решение: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 xml:space="preserve">«1. Утвердить План-график мероприятий ПАО 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</w:t>
      </w:r>
      <w:r w:rsidRPr="009C45AE">
        <w:rPr>
          <w:sz w:val="26"/>
          <w:szCs w:val="26"/>
        </w:rPr>
        <w:lastRenderedPageBreak/>
        <w:t>на 01.07.2021, в соответствии с приложением к решению Совета директоров Общества.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 xml:space="preserve"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 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3. Принять к сведению информацию в соответствии с приложением к решению Совета директоров Общества: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об исполнении поручения Совета директоров от 31.03.2021 (протокол №</w:t>
      </w:r>
      <w:r w:rsidR="009E6186">
        <w:rPr>
          <w:sz w:val="26"/>
          <w:szCs w:val="26"/>
        </w:rPr>
        <w:t> </w:t>
      </w:r>
      <w:r w:rsidRPr="009C45AE">
        <w:rPr>
          <w:sz w:val="26"/>
          <w:szCs w:val="26"/>
        </w:rPr>
        <w:t>391/27) в части погашения в 1 полугодии 2021 года величины просроченной задолженности из величины задолженности, сложившейся на 01.01.2021;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2021 года;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</w:t>
      </w:r>
      <w:r>
        <w:rPr>
          <w:sz w:val="26"/>
          <w:szCs w:val="26"/>
        </w:rPr>
        <w:t>ке исполнительного производства</w:t>
      </w:r>
      <w:r w:rsidRPr="009C45A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50276" w:rsidRPr="00A84FEE" w:rsidRDefault="00A84FEE" w:rsidP="00A84FE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2. Отметить по итогам 2 квартала 2021 года некачественное планирование Обществом показателя «погашение/снижени</w:t>
      </w:r>
      <w:r w:rsidR="00F563B0">
        <w:rPr>
          <w:sz w:val="26"/>
          <w:szCs w:val="26"/>
        </w:rPr>
        <w:t>е просроченной задолженности»</w:t>
      </w:r>
      <w:r w:rsidRPr="009C45AE">
        <w:rPr>
          <w:sz w:val="26"/>
          <w:szCs w:val="26"/>
        </w:rPr>
        <w:t xml:space="preserve"> (при плане 385,1 млн рублей, фактическое значени</w:t>
      </w:r>
      <w:r>
        <w:rPr>
          <w:sz w:val="26"/>
          <w:szCs w:val="26"/>
        </w:rPr>
        <w:t>е составило 1 155,4 млн рублей)</w:t>
      </w:r>
      <w:r w:rsidRPr="009C45AE">
        <w:rPr>
          <w:sz w:val="26"/>
          <w:szCs w:val="26"/>
        </w:rPr>
        <w:t>»</w:t>
      </w:r>
      <w:r w:rsidR="0039117C" w:rsidRPr="00A84FEE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0270F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Полинов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5D3AB4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0270F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5D3AB4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CF6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D5B61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CD2619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D2619">
              <w:rPr>
                <w:sz w:val="26"/>
                <w:szCs w:val="26"/>
              </w:rPr>
              <w:t>«Воздержался»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D71FCE" w:rsidRPr="00E615F2" w:rsidRDefault="00D71FCE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3: </w:t>
      </w:r>
      <w:r w:rsidR="00A84FEE" w:rsidRPr="00A84FEE">
        <w:rPr>
          <w:b/>
          <w:sz w:val="26"/>
          <w:szCs w:val="26"/>
        </w:rPr>
        <w:t>О рассмотрении актуализированной Программы развития интеллектуального учета электроэнергии Общества на 2021-2030 гг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84FEE" w:rsidRPr="00A84FEE" w:rsidRDefault="00A84FEE" w:rsidP="00A84FE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FEE">
        <w:rPr>
          <w:sz w:val="26"/>
          <w:szCs w:val="26"/>
        </w:rPr>
        <w:t xml:space="preserve">Рекомендовать Совету директоров ПАО «Россети Северо-Запад» принять </w:t>
      </w:r>
      <w:r w:rsidRPr="00A84FEE">
        <w:rPr>
          <w:sz w:val="26"/>
          <w:szCs w:val="26"/>
        </w:rPr>
        <w:lastRenderedPageBreak/>
        <w:t>следующее решение:</w:t>
      </w:r>
    </w:p>
    <w:p w:rsidR="00A84FEE" w:rsidRPr="00A84FEE" w:rsidRDefault="00A84FEE" w:rsidP="00A84FE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FEE">
        <w:rPr>
          <w:sz w:val="26"/>
          <w:szCs w:val="26"/>
        </w:rPr>
        <w:t xml:space="preserve">1. Утвердить Программу развития интеллектуального учёта электроэнергии Общества на 2021-2030 гг. (далее – Программа) согласно </w:t>
      </w:r>
      <w:proofErr w:type="gramStart"/>
      <w:r w:rsidRPr="00A84FEE">
        <w:rPr>
          <w:sz w:val="26"/>
          <w:szCs w:val="26"/>
        </w:rPr>
        <w:t>приложению</w:t>
      </w:r>
      <w:proofErr w:type="gramEnd"/>
      <w:r w:rsidRPr="00A84FEE">
        <w:rPr>
          <w:sz w:val="26"/>
          <w:szCs w:val="26"/>
        </w:rPr>
        <w:t xml:space="preserve"> к решению Совета директоров Общества.</w:t>
      </w:r>
    </w:p>
    <w:p w:rsidR="00A84FEE" w:rsidRPr="00A84FEE" w:rsidRDefault="00A84FEE" w:rsidP="00A84FE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FEE">
        <w:rPr>
          <w:sz w:val="26"/>
          <w:szCs w:val="26"/>
        </w:rPr>
        <w:t>2. Считать утратившей силу Программу развития интеллектуального учёта электроэнергии Общества на 2020-2030 гг., утвержденную решением Совета директоров Общества от 27.01.2020 (протокол № 347/24).</w:t>
      </w:r>
    </w:p>
    <w:p w:rsidR="0039117C" w:rsidRPr="00E615F2" w:rsidRDefault="00A84FEE" w:rsidP="00A84FE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FEE">
        <w:rPr>
          <w:sz w:val="26"/>
          <w:szCs w:val="26"/>
        </w:rPr>
        <w:t>3. Поручить Единоличному исполнительному органу Общества проработать различные варианты источников финансирования Программы, отчет об исполнении поручения представить в рамках отчета о реализации Программы по итогам 2021 года</w:t>
      </w:r>
      <w:r w:rsidR="0039117C" w:rsidRPr="00E615F2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0270F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Полинов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E12A5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0270F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E12A5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CF6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0270F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0270F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E12A5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D5B61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E12A5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E12A5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E12A5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0270F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CD2619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D2619">
              <w:rPr>
                <w:sz w:val="26"/>
                <w:szCs w:val="26"/>
              </w:rPr>
              <w:t>«Воздержался»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A1FBE" w:rsidRPr="00E615F2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E615F2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ПРИНЯТЫЕ РЕШЕНИЯ:</w:t>
      </w:r>
    </w:p>
    <w:p w:rsidR="00591DE9" w:rsidRPr="00E615F2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1 повестки дня: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Одобрить прекращение участия Общества в ПАО «ТГК-2» на следующих условиях: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− категория, тип, номинальная стоимость и количество отчуждаемых             Обществом акций ПАО «ТГК-2», доля в уставном капитале ПАО «ТГК-2»: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• обыкновенные именные бездокументарные акции, государственный регистрационный номер выпуска 1-01-10420-А, номинальной стоимостью 0,01 (Одна сотая) рубля за акцию, 31 321 (Тридцать одна тысяча триста двадцать одна) штука, что составляет 0,0000021% уставного капитала ПАО «ТГК-2», балансовой стоимостью по состоянию на 31 марта 2021 г. – 125 (Сто двадцать пять) рублей 28 копеек;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•</w:t>
      </w:r>
      <w:r w:rsidRPr="009C45AE">
        <w:rPr>
          <w:sz w:val="26"/>
          <w:szCs w:val="26"/>
        </w:rPr>
        <w:tab/>
        <w:t>привилегированные именные бездокументарные акции, государственный регистрационный номер выпуска 2-01-10420-А, номинальной стоимостью 0,01 (Одна сотая) рубля за акцию, 1 018 (Одна тысяча восемнадцать) штук, что составляет 0,0000001% уставного капитала ПАО «ТГК-2», балансовой стоимостью по состоянию на 31 марта 2021 г. – 6 (Шесть) рублей 82 копейки;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 xml:space="preserve">− способ отчуждения акций: посредством продажи на организованном рынке </w:t>
      </w:r>
      <w:r w:rsidRPr="009C45AE">
        <w:rPr>
          <w:sz w:val="26"/>
          <w:szCs w:val="26"/>
        </w:rPr>
        <w:lastRenderedPageBreak/>
        <w:t>ценных бумаг с привлечением профессионального участника организованного рынка ценных бумаг по цене, сформированной в результате торгов, но не ниже балансовой стоимости на дату продажи акций с учетом расходов на организацию продажи;</w:t>
      </w:r>
    </w:p>
    <w:p w:rsidR="00AD6010" w:rsidRDefault="00A84FEE" w:rsidP="00A84FEE">
      <w:pPr>
        <w:autoSpaceDE/>
        <w:autoSpaceDN/>
        <w:adjustRightInd/>
        <w:spacing w:before="120" w:after="60"/>
        <w:ind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− порядок (срок) оплаты акций: денежными средствами на условиях и в течение сроков, предусмотренных законодательством Российской Федерации</w:t>
      </w:r>
      <w:r w:rsidR="00AD6010" w:rsidRPr="00E615F2">
        <w:rPr>
          <w:sz w:val="26"/>
          <w:szCs w:val="26"/>
        </w:rPr>
        <w:t>.</w:t>
      </w:r>
    </w:p>
    <w:p w:rsidR="0039117C" w:rsidRPr="00E615F2" w:rsidRDefault="00124977" w:rsidP="00AD60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2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1. Рекомендовать Совету директоров ПАО «Россети Северо-Запад» принять следующее решение: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«1. Утвердить План-график мероприятий ПАО 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01.07.2021, в соответствии с приложением к решению Совета директоров Общества.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 xml:space="preserve"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 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3. Принять к сведению информацию в соответствии с приложением к решению Совета директоров Общества: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об исполнении поручения Совета директоров от 31.03.2021 (протокол №</w:t>
      </w:r>
      <w:r w:rsidR="00A85D6A">
        <w:rPr>
          <w:sz w:val="26"/>
          <w:szCs w:val="26"/>
        </w:rPr>
        <w:t> </w:t>
      </w:r>
      <w:r w:rsidRPr="009C45AE">
        <w:rPr>
          <w:sz w:val="26"/>
          <w:szCs w:val="26"/>
        </w:rPr>
        <w:t>391/27) в части погашения в 1 полугодии 2021 года величины просроченной задолженности из величины задолженности, сложившейся на 01.01.2021;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во 2 квартале 2021 года;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A84FEE" w:rsidRPr="009C45AE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</w:t>
      </w:r>
      <w:r>
        <w:rPr>
          <w:sz w:val="26"/>
          <w:szCs w:val="26"/>
        </w:rPr>
        <w:t>ке исполнительного производства</w:t>
      </w:r>
      <w:r w:rsidRPr="009C45A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9198A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9C45AE">
        <w:rPr>
          <w:sz w:val="26"/>
          <w:szCs w:val="26"/>
        </w:rPr>
        <w:t>2. Отметить по итогам 2 квартала 2021 года некачественное планирование Обществом показателя «погашение/снижение просроченной задолженности» (при плане 385,1 млн рублей, фактическое значение составило 1 155,4 млн рублей)»</w:t>
      </w:r>
      <w:r w:rsidR="0039198A" w:rsidRPr="00015121">
        <w:rPr>
          <w:sz w:val="26"/>
          <w:szCs w:val="26"/>
        </w:rPr>
        <w:t>.</w:t>
      </w:r>
    </w:p>
    <w:p w:rsidR="0039117C" w:rsidRPr="00E615F2" w:rsidRDefault="00124977" w:rsidP="0039198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3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39198A" w:rsidRPr="00015121" w:rsidRDefault="0039198A" w:rsidP="0039198A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84FEE" w:rsidRPr="00606C5F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06C5F">
        <w:rPr>
          <w:sz w:val="26"/>
          <w:szCs w:val="26"/>
        </w:rPr>
        <w:t xml:space="preserve">. Утвердить Программу развития интеллектуального учёта электроэнергии Общества на 2021-2030 гг. (далее – Программа) согласно </w:t>
      </w:r>
      <w:proofErr w:type="gramStart"/>
      <w:r w:rsidRPr="00606C5F">
        <w:rPr>
          <w:sz w:val="26"/>
          <w:szCs w:val="26"/>
        </w:rPr>
        <w:t>приложению</w:t>
      </w:r>
      <w:proofErr w:type="gramEnd"/>
      <w:r w:rsidRPr="00606C5F">
        <w:rPr>
          <w:sz w:val="26"/>
          <w:szCs w:val="26"/>
        </w:rPr>
        <w:t xml:space="preserve"> к решению Совета директоров Общества.</w:t>
      </w:r>
    </w:p>
    <w:p w:rsidR="00A84FEE" w:rsidRPr="00606C5F" w:rsidRDefault="00A84FEE" w:rsidP="00A84FEE">
      <w:pPr>
        <w:pStyle w:val="a6"/>
        <w:ind w:left="0" w:firstLine="709"/>
        <w:jc w:val="both"/>
        <w:rPr>
          <w:sz w:val="26"/>
          <w:szCs w:val="26"/>
        </w:rPr>
      </w:pPr>
      <w:r w:rsidRPr="00606C5F">
        <w:rPr>
          <w:sz w:val="26"/>
          <w:szCs w:val="26"/>
        </w:rPr>
        <w:t>2. Считать утратившей силу Программу развития интеллектуального учёта электроэнергии Общества на 2020-2030 гг., утвержденную решением Совета директоров Общества от 27.01.2020 (протокол № 347/24).</w:t>
      </w:r>
    </w:p>
    <w:p w:rsidR="0039198A" w:rsidRDefault="00A84FEE" w:rsidP="00A84FEE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606C5F">
        <w:rPr>
          <w:sz w:val="26"/>
          <w:szCs w:val="26"/>
        </w:rPr>
        <w:t xml:space="preserve">3. Поручить Единоличному исполнительному органу Общества проработать </w:t>
      </w:r>
      <w:r w:rsidRPr="00606C5F">
        <w:rPr>
          <w:sz w:val="26"/>
          <w:szCs w:val="26"/>
        </w:rPr>
        <w:lastRenderedPageBreak/>
        <w:t>различные варианты источников финансирования Программы, отчет об исполнении поручения представить в рамках отчета о реализации Программы по итогам 2021 года</w:t>
      </w:r>
      <w:r w:rsidR="0039198A">
        <w:rPr>
          <w:sz w:val="26"/>
          <w:szCs w:val="26"/>
        </w:rPr>
        <w:t>.</w:t>
      </w:r>
    </w:p>
    <w:p w:rsidR="00AD1568" w:rsidRPr="00E615F2" w:rsidRDefault="00AD1568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E615F2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E615F2">
        <w:rPr>
          <w:sz w:val="26"/>
          <w:szCs w:val="26"/>
        </w:rPr>
        <w:t>К протоколу прилагаются</w:t>
      </w:r>
      <w:r w:rsidRPr="00E615F2">
        <w:rPr>
          <w:noProof/>
          <w:sz w:val="26"/>
          <w:szCs w:val="26"/>
        </w:rPr>
        <w:t>:</w:t>
      </w:r>
    </w:p>
    <w:p w:rsidR="00A84FEE" w:rsidRPr="00E615F2" w:rsidRDefault="00A84FE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особые мнения члена Комитета по стратегии </w:t>
      </w:r>
      <w:r w:rsidR="004E2163" w:rsidRPr="004E2163">
        <w:rPr>
          <w:noProof/>
          <w:sz w:val="26"/>
          <w:szCs w:val="26"/>
        </w:rPr>
        <w:t xml:space="preserve">Совета директоров Общества </w:t>
      </w:r>
      <w:r>
        <w:rPr>
          <w:noProof/>
          <w:sz w:val="26"/>
          <w:szCs w:val="26"/>
        </w:rPr>
        <w:t>Головцова А.В. по вопросам 2 и 3 повестки дня заседания</w:t>
      </w:r>
      <w:r w:rsidR="00845EFD">
        <w:rPr>
          <w:noProof/>
          <w:sz w:val="26"/>
          <w:szCs w:val="26"/>
        </w:rPr>
        <w:t>;</w:t>
      </w:r>
    </w:p>
    <w:p w:rsidR="00B92A2F" w:rsidRPr="00E615F2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E615F2">
        <w:rPr>
          <w:noProof/>
          <w:sz w:val="26"/>
          <w:szCs w:val="26"/>
        </w:rPr>
        <w:t xml:space="preserve">- </w:t>
      </w:r>
      <w:r w:rsidR="00B92A2F" w:rsidRPr="00E615F2">
        <w:rPr>
          <w:noProof/>
          <w:sz w:val="26"/>
          <w:szCs w:val="26"/>
        </w:rPr>
        <w:t xml:space="preserve">опросные листы членов </w:t>
      </w:r>
      <w:r w:rsidR="00B92A2F" w:rsidRPr="00E615F2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E615F2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E615F2">
        <w:rPr>
          <w:noProof/>
          <w:sz w:val="26"/>
          <w:szCs w:val="26"/>
          <w:lang w:eastAsia="x-none"/>
        </w:rPr>
        <w:t>Общества.</w:t>
      </w:r>
    </w:p>
    <w:p w:rsidR="00677DF6" w:rsidRPr="00E615F2" w:rsidRDefault="00677DF6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</w:p>
    <w:p w:rsidR="00CB0FC6" w:rsidRPr="00E615F2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E615F2">
        <w:rPr>
          <w:i/>
          <w:sz w:val="26"/>
          <w:szCs w:val="26"/>
        </w:rPr>
        <w:t>Дата составления протокола:</w:t>
      </w:r>
      <w:r w:rsidR="00006D0D">
        <w:rPr>
          <w:i/>
          <w:sz w:val="26"/>
          <w:szCs w:val="26"/>
        </w:rPr>
        <w:t xml:space="preserve"> 30</w:t>
      </w:r>
      <w:r w:rsidR="00F75978" w:rsidRPr="00E615F2">
        <w:rPr>
          <w:i/>
          <w:sz w:val="26"/>
          <w:szCs w:val="26"/>
        </w:rPr>
        <w:t xml:space="preserve"> </w:t>
      </w:r>
      <w:r w:rsidR="0039198A">
        <w:rPr>
          <w:i/>
          <w:sz w:val="26"/>
          <w:szCs w:val="26"/>
        </w:rPr>
        <w:t>сентября</w:t>
      </w:r>
      <w:r w:rsidR="003579F2" w:rsidRPr="00E615F2">
        <w:rPr>
          <w:i/>
          <w:sz w:val="26"/>
          <w:szCs w:val="26"/>
        </w:rPr>
        <w:t xml:space="preserve"> 2021</w:t>
      </w:r>
      <w:r w:rsidR="00591DE9" w:rsidRPr="00E615F2">
        <w:rPr>
          <w:i/>
          <w:sz w:val="26"/>
          <w:szCs w:val="26"/>
        </w:rPr>
        <w:t xml:space="preserve"> года.</w:t>
      </w:r>
    </w:p>
    <w:p w:rsidR="00651154" w:rsidRPr="00E615F2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E615F2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E615F2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Председатель Комитета</w:t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AD1568" w:rsidRPr="00E615F2">
        <w:rPr>
          <w:b/>
          <w:sz w:val="26"/>
          <w:szCs w:val="26"/>
        </w:rPr>
        <w:t xml:space="preserve">А.А. </w:t>
      </w:r>
      <w:proofErr w:type="spellStart"/>
      <w:r w:rsidR="00AD1568" w:rsidRPr="00E615F2">
        <w:rPr>
          <w:b/>
          <w:sz w:val="26"/>
          <w:szCs w:val="26"/>
        </w:rPr>
        <w:t>Полинов</w:t>
      </w:r>
      <w:proofErr w:type="spellEnd"/>
      <w:r w:rsidR="00AD1568" w:rsidRPr="00E615F2">
        <w:rPr>
          <w:b/>
          <w:sz w:val="26"/>
          <w:szCs w:val="26"/>
        </w:rPr>
        <w:t xml:space="preserve"> </w:t>
      </w:r>
    </w:p>
    <w:p w:rsidR="004C7A40" w:rsidRPr="00E615F2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E615F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760E61" w:rsidRDefault="00EE461F" w:rsidP="001F4CA7">
      <w:pPr>
        <w:autoSpaceDE/>
        <w:autoSpaceDN/>
        <w:adjustRightInd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С</w:t>
      </w:r>
      <w:r w:rsidR="00591DE9" w:rsidRPr="00E615F2">
        <w:rPr>
          <w:b/>
          <w:sz w:val="26"/>
          <w:szCs w:val="26"/>
        </w:rPr>
        <w:t>екретар</w:t>
      </w:r>
      <w:r w:rsidRPr="00E615F2">
        <w:rPr>
          <w:b/>
          <w:sz w:val="26"/>
          <w:szCs w:val="26"/>
        </w:rPr>
        <w:t>ь</w:t>
      </w:r>
      <w:r w:rsidR="00591DE9" w:rsidRPr="00E615F2">
        <w:rPr>
          <w:b/>
          <w:sz w:val="26"/>
          <w:szCs w:val="26"/>
        </w:rPr>
        <w:t xml:space="preserve"> Комитета</w:t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bookmarkStart w:id="0" w:name="_GoBack"/>
      <w:bookmarkEnd w:id="0"/>
      <w:r w:rsidR="00B75D93" w:rsidRPr="00E615F2">
        <w:rPr>
          <w:b/>
          <w:sz w:val="26"/>
          <w:szCs w:val="26"/>
        </w:rPr>
        <w:t xml:space="preserve">   </w:t>
      </w:r>
      <w:r w:rsidR="00591DE9"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</w:t>
      </w:r>
      <w:r w:rsidR="00644417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B92A2F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E526F4" w:rsidRPr="00E615F2">
        <w:rPr>
          <w:b/>
          <w:sz w:val="26"/>
          <w:szCs w:val="26"/>
        </w:rPr>
        <w:t xml:space="preserve"> </w:t>
      </w:r>
      <w:r w:rsidR="00B75D93" w:rsidRPr="00E615F2">
        <w:rPr>
          <w:b/>
          <w:sz w:val="26"/>
          <w:szCs w:val="26"/>
        </w:rPr>
        <w:t xml:space="preserve">    </w:t>
      </w:r>
      <w:r w:rsidRPr="00E615F2">
        <w:rPr>
          <w:b/>
          <w:sz w:val="26"/>
          <w:szCs w:val="26"/>
        </w:rPr>
        <w:t>С.И.</w:t>
      </w:r>
      <w:r w:rsidR="00506B36" w:rsidRPr="00E615F2">
        <w:rPr>
          <w:b/>
          <w:sz w:val="26"/>
          <w:szCs w:val="26"/>
        </w:rPr>
        <w:t xml:space="preserve"> </w:t>
      </w:r>
      <w:r w:rsidRPr="00E615F2">
        <w:rPr>
          <w:b/>
          <w:sz w:val="26"/>
          <w:szCs w:val="26"/>
        </w:rPr>
        <w:t>Капырин</w:t>
      </w:r>
      <w:r w:rsidR="0039198A">
        <w:rPr>
          <w:b/>
          <w:sz w:val="26"/>
          <w:szCs w:val="26"/>
        </w:rPr>
        <w:t xml:space="preserve"> </w:t>
      </w:r>
    </w:p>
    <w:sectPr w:rsidR="00760E61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7" w:rsidRDefault="00792EC7" w:rsidP="00F35233">
      <w:r>
        <w:separator/>
      </w:r>
    </w:p>
  </w:endnote>
  <w:endnote w:type="continuationSeparator" w:id="0">
    <w:p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1F4CA7">
          <w:rPr>
            <w:noProof/>
            <w:sz w:val="22"/>
            <w:szCs w:val="22"/>
          </w:rPr>
          <w:t>5</w:t>
        </w:r>
        <w:r w:rsidRPr="00BD58F4">
          <w:rPr>
            <w:sz w:val="22"/>
            <w:szCs w:val="22"/>
          </w:rPr>
          <w:fldChar w:fldCharType="end"/>
        </w:r>
      </w:p>
    </w:sdtContent>
  </w:sdt>
  <w:p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7" w:rsidRDefault="00792EC7" w:rsidP="00F35233">
      <w:r>
        <w:separator/>
      </w:r>
    </w:p>
  </w:footnote>
  <w:footnote w:type="continuationSeparator" w:id="0">
    <w:p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06D0D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07C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B58EA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4CA7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0DF3"/>
    <w:rsid w:val="002F3932"/>
    <w:rsid w:val="002F4691"/>
    <w:rsid w:val="002F5FE6"/>
    <w:rsid w:val="002F7787"/>
    <w:rsid w:val="0030270F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668AE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1198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2163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4412"/>
    <w:rsid w:val="005C6039"/>
    <w:rsid w:val="005C734B"/>
    <w:rsid w:val="005C7595"/>
    <w:rsid w:val="005C7F7F"/>
    <w:rsid w:val="005D3AB4"/>
    <w:rsid w:val="005D4B28"/>
    <w:rsid w:val="005E1F32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77DF6"/>
    <w:rsid w:val="00680148"/>
    <w:rsid w:val="00687479"/>
    <w:rsid w:val="00690411"/>
    <w:rsid w:val="0069179B"/>
    <w:rsid w:val="006945E5"/>
    <w:rsid w:val="00695A13"/>
    <w:rsid w:val="006A08DC"/>
    <w:rsid w:val="006A3192"/>
    <w:rsid w:val="006A33A4"/>
    <w:rsid w:val="006A672F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35F3"/>
    <w:rsid w:val="006D40EC"/>
    <w:rsid w:val="006D5B61"/>
    <w:rsid w:val="006E0F3A"/>
    <w:rsid w:val="006E1168"/>
    <w:rsid w:val="006E2516"/>
    <w:rsid w:val="006E2606"/>
    <w:rsid w:val="006E5664"/>
    <w:rsid w:val="006E63F1"/>
    <w:rsid w:val="006E6584"/>
    <w:rsid w:val="006F02C2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576C1"/>
    <w:rsid w:val="00760E61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2EC7"/>
    <w:rsid w:val="00793EBF"/>
    <w:rsid w:val="00794C4C"/>
    <w:rsid w:val="0079701D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CF6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45EFD"/>
    <w:rsid w:val="00846FC4"/>
    <w:rsid w:val="00850276"/>
    <w:rsid w:val="00850725"/>
    <w:rsid w:val="00853A1B"/>
    <w:rsid w:val="00854BC0"/>
    <w:rsid w:val="00856083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596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186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4FEE"/>
    <w:rsid w:val="00A85CF7"/>
    <w:rsid w:val="00A85D6A"/>
    <w:rsid w:val="00A8618F"/>
    <w:rsid w:val="00A87EE4"/>
    <w:rsid w:val="00A91481"/>
    <w:rsid w:val="00A93A73"/>
    <w:rsid w:val="00A95A38"/>
    <w:rsid w:val="00A965C2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0375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55F6B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619"/>
    <w:rsid w:val="00CD28BF"/>
    <w:rsid w:val="00CE3627"/>
    <w:rsid w:val="00CE6DBC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1FCE"/>
    <w:rsid w:val="00D7593D"/>
    <w:rsid w:val="00D75D35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41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3B0"/>
    <w:rsid w:val="00F56BE5"/>
    <w:rsid w:val="00F641B7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f5"/>
    <w:qFormat/>
    <w:rsid w:val="00A84FE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0CEE-8F0F-4BEA-894F-23A9F9FA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1513</Words>
  <Characters>10010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126</cp:revision>
  <cp:lastPrinted>2021-10-01T09:22:00Z</cp:lastPrinted>
  <dcterms:created xsi:type="dcterms:W3CDTF">2020-12-15T12:23:00Z</dcterms:created>
  <dcterms:modified xsi:type="dcterms:W3CDTF">2022-03-31T17:13:00Z</dcterms:modified>
</cp:coreProperties>
</file>